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Anziani ed adulti con disagio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sportello Alzheimer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Staderini Lucia </w:t>
            </w:r>
          </w:p>
          <w:p>
            <w:pPr>
              <w:jc w:val="both"/>
            </w:pPr>
            <w:r>
              <w:rPr>
                <w:sz w:val="22"/>
                <w:szCs w:val="22"/>
              </w:rPr>
              <w:t xml:space="preserve">sig.ra Borgini Cosetta </w:t>
            </w:r>
          </w:p>
          <w:p>
            <w:pPr>
              <w:jc w:val="both"/>
            </w:pPr>
            <w:r>
              <w:rPr>
                <w:sz w:val="22"/>
                <w:szCs w:val="22"/>
              </w:rPr>
              <w:t xml:space="preserve">sig.ra Cibra Paola </w:t>
            </w:r>
          </w:p>
          <w:p>
            <w:pPr>
              <w:jc w:val="both"/>
            </w:pPr>
            <w:r>
              <w:rPr>
                <w:sz w:val="22"/>
                <w:szCs w:val="22"/>
              </w:rPr>
              <w:t xml:space="preserve">Dott. Rettani Gianluigi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Notte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sportello Alzheimer.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