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Procedure di valutazione relative all'analisi dell'impatto della regolamentazione (AIR) ai sensi dell'art.14, comma 1, della legge 28 novembre 2005, n. 246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Cecoro Federico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Procedure di valutazione relative all'analisi dell'impatto della regolamentazione (AIR) ai sensi dell'art.14, comma 1, della legge 28 novembre 2005, n. 246.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